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290" w:rsidRDefault="006C3290" w:rsidP="006C329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Flat Plate Collectors v. Evacuated Tubes – A Brief Overview</w:t>
      </w:r>
    </w:p>
    <w:p w:rsidR="006C3290" w:rsidRDefault="006C3290" w:rsidP="006C3290">
      <w:pPr>
        <w:autoSpaceDE w:val="0"/>
        <w:autoSpaceDN w:val="0"/>
        <w:adjustRightInd w:val="0"/>
        <w:spacing w:after="0" w:line="240" w:lineRule="auto"/>
        <w:rPr>
          <w:rFonts w:ascii="TimesNewRomanPS-BoldMT" w:hAnsi="TimesNewRomanPS-BoldMT" w:cs="TimesNewRomanPS-BoldMT"/>
          <w:b/>
          <w:bCs/>
          <w:sz w:val="24"/>
          <w:szCs w:val="24"/>
        </w:rPr>
      </w:pPr>
    </w:p>
    <w:p w:rsidR="006C3290" w:rsidRDefault="006C3290" w:rsidP="006C3290">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The 1</w:t>
      </w:r>
      <w:r>
        <w:rPr>
          <w:rFonts w:ascii="TimesNewRomanPS-BoldMT" w:hAnsi="TimesNewRomanPS-BoldMT" w:cs="TimesNewRomanPS-BoldMT"/>
          <w:b/>
          <w:bCs/>
          <w:sz w:val="14"/>
          <w:szCs w:val="14"/>
        </w:rPr>
        <w:t xml:space="preserve">st </w:t>
      </w:r>
      <w:r>
        <w:rPr>
          <w:rFonts w:ascii="TimesNewRomanPS-BoldMT" w:hAnsi="TimesNewRomanPS-BoldMT" w:cs="TimesNewRomanPS-BoldMT"/>
          <w:b/>
          <w:bCs/>
        </w:rPr>
        <w:t>Rule of Solar – Use the Right Collector for the Job</w:t>
      </w:r>
    </w:p>
    <w:p w:rsidR="006C3290" w:rsidRDefault="006C3290" w:rsidP="006C3290">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There is no single collector that can be labeled ‘the most efficient,’ as the efficiency of collectors depends on what they are hooked up to. For seasonal swimming pool heating, an unglazed collector (e.g., Sunearth Oasis or polymer collectors) will beat out a flat plate collector at a fraction of the cost. An unglazed collector can pull off this feat because it is heating a pool at 80 °F when it is right about 80 °F outside. Under those conditions, the collector is running at ambient temperature and has no heat loss, therefore it does not need to be insulated.</w:t>
      </w:r>
    </w:p>
    <w:p w:rsidR="006C3290" w:rsidRDefault="006C3290" w:rsidP="006C3290">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When we start moving up in temperature it becomes more important to insulate the collector against losses. Whereas collectors on seasonal pools operate within 10-20 °F of ambient, domestic hot water (DHW) collectors are designed to run through the colder winters and at higher temperatures in a wide range of 25-125 °F above ambient, depending on location and season. The last application of thermal is in high-end process heat such as steam production or powering absorption chillers in the range of 150 °F above ambient. Efficiency plots of the various collector styles against collector inlet fluid temperature above ambient are shown in the figure below.</w:t>
      </w:r>
    </w:p>
    <w:p w:rsidR="006C3290" w:rsidRDefault="006C3290" w:rsidP="006C3290">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As discussed above, unglazed pool collectors dominate in low temperature applications 0-25 °F, flat plates hold sway in the mid-range of 25-125 °F, and evacuated tubes come into their own at the upper end at 125+ °F. This is the reason why no </w:t>
      </w:r>
      <w:proofErr w:type="gramStart"/>
      <w:r>
        <w:rPr>
          <w:rFonts w:ascii="TimesNewRomanPSMT" w:hAnsi="TimesNewRomanPSMT" w:cs="TimesNewRomanPSMT"/>
        </w:rPr>
        <w:t>particular collector</w:t>
      </w:r>
      <w:proofErr w:type="gramEnd"/>
      <w:r>
        <w:rPr>
          <w:rFonts w:ascii="TimesNewRomanPSMT" w:hAnsi="TimesNewRomanPSMT" w:cs="TimesNewRomanPSMT"/>
        </w:rPr>
        <w:t xml:space="preserve"> has dominated the entire thermal market; each collector has its own place.</w:t>
      </w:r>
    </w:p>
    <w:p w:rsidR="006C3290" w:rsidRDefault="006C3290" w:rsidP="006C3290">
      <w:pPr>
        <w:autoSpaceDE w:val="0"/>
        <w:autoSpaceDN w:val="0"/>
        <w:adjustRightInd w:val="0"/>
        <w:spacing w:after="0" w:line="240" w:lineRule="auto"/>
        <w:rPr>
          <w:rFonts w:ascii="TimesNewRomanPSMT" w:hAnsi="TimesNewRomanPSMT" w:cs="TimesNewRomanPSMT"/>
          <w:noProof/>
        </w:rPr>
      </w:pPr>
      <w:r>
        <w:rPr>
          <w:rFonts w:ascii="TimesNewRomanPSMT" w:hAnsi="TimesNewRomanPSMT" w:cs="TimesNewRomanPSMT"/>
        </w:rPr>
        <w:t>As you move from unglazed to glazed and on to evacuated tubes you move up and up in price. Evacuated tubes could be used to heat swimming pools, but it would not make economic sense to do so given that an unglazed collector is 1/10</w:t>
      </w:r>
      <w:r>
        <w:rPr>
          <w:rFonts w:ascii="TimesNewRomanPSMT" w:hAnsi="TimesNewRomanPSMT" w:cs="TimesNewRomanPSMT"/>
          <w:sz w:val="14"/>
          <w:szCs w:val="14"/>
        </w:rPr>
        <w:t xml:space="preserve">th </w:t>
      </w:r>
      <w:r>
        <w:rPr>
          <w:rFonts w:ascii="TimesNewRomanPSMT" w:hAnsi="TimesNewRomanPSMT" w:cs="TimesNewRomanPSMT"/>
        </w:rPr>
        <w:t>the cost and 30% more efficient. The same holds true, to a lesser degree, for using evacuated tubes to heat domestic hot water.</w:t>
      </w:r>
      <w:r w:rsidRPr="006C3290">
        <w:rPr>
          <w:rFonts w:ascii="TimesNewRomanPSMT" w:hAnsi="TimesNewRomanPSMT" w:cs="TimesNewRomanPSMT"/>
        </w:rPr>
        <w:t xml:space="preserve"> </w:t>
      </w:r>
    </w:p>
    <w:p w:rsidR="006C3290" w:rsidRDefault="00DC291A" w:rsidP="00DC291A">
      <w:pPr>
        <w:autoSpaceDE w:val="0"/>
        <w:autoSpaceDN w:val="0"/>
        <w:adjustRightInd w:val="0"/>
        <w:spacing w:after="0" w:line="240" w:lineRule="auto"/>
        <w:jc w:val="center"/>
        <w:rPr>
          <w:rFonts w:ascii="TimesNewRomanPSMT" w:hAnsi="TimesNewRomanPSMT" w:cs="TimesNewRomanPSMT"/>
        </w:rPr>
      </w:pPr>
      <w:r w:rsidRPr="006C3290">
        <w:rPr>
          <w:rFonts w:ascii="TimesNewRomanPSMT" w:hAnsi="TimesNewRomanPSMT" w:cs="TimesNewRomanPSMT"/>
          <w:noProof/>
        </w:rPr>
        <w:drawing>
          <wp:inline distT="0" distB="0" distL="0" distR="0" wp14:anchorId="047E1B5E" wp14:editId="74ECA416">
            <wp:extent cx="2798218" cy="2260397"/>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7465" cy="2292101"/>
                    </a:xfrm>
                    <a:prstGeom prst="rect">
                      <a:avLst/>
                    </a:prstGeom>
                    <a:noFill/>
                    <a:ln>
                      <a:noFill/>
                    </a:ln>
                  </pic:spPr>
                </pic:pic>
              </a:graphicData>
            </a:graphic>
          </wp:inline>
        </w:drawing>
      </w:r>
    </w:p>
    <w:p w:rsidR="006C3290" w:rsidRDefault="00DC291A" w:rsidP="006C3290">
      <w:pPr>
        <w:autoSpaceDE w:val="0"/>
        <w:autoSpaceDN w:val="0"/>
        <w:adjustRightInd w:val="0"/>
        <w:spacing w:after="0" w:line="240" w:lineRule="auto"/>
        <w:rPr>
          <w:rFonts w:ascii="TimesNewRomanPSMT" w:hAnsi="TimesNewRomanPSMT" w:cs="TimesNewRomanPSMT"/>
        </w:rPr>
      </w:pPr>
      <w:r w:rsidRPr="00DC291A">
        <w:rPr>
          <w:rFonts w:ascii="TimesNewRomanPSMT" w:hAnsi="TimesNewRomanPSMT" w:cs="TimesNewRomanPSMT"/>
          <w:noProof/>
        </w:rPr>
        <mc:AlternateContent>
          <mc:Choice Requires="wps">
            <w:drawing>
              <wp:anchor distT="45720" distB="45720" distL="114300" distR="114300" simplePos="0" relativeHeight="251659264" behindDoc="0" locked="0" layoutInCell="1" allowOverlap="1">
                <wp:simplePos x="0" y="0"/>
                <wp:positionH relativeFrom="column">
                  <wp:posOffset>182880</wp:posOffset>
                </wp:positionH>
                <wp:positionV relativeFrom="paragraph">
                  <wp:posOffset>1536700</wp:posOffset>
                </wp:positionV>
                <wp:extent cx="5434965" cy="5118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511810"/>
                        </a:xfrm>
                        <a:prstGeom prst="rect">
                          <a:avLst/>
                        </a:prstGeom>
                        <a:solidFill>
                          <a:srgbClr val="FFFFFF"/>
                        </a:solidFill>
                        <a:ln w="9525">
                          <a:noFill/>
                          <a:miter lim="800000"/>
                          <a:headEnd/>
                          <a:tailEnd/>
                        </a:ln>
                      </wps:spPr>
                      <wps:txbx>
                        <w:txbxContent>
                          <w:p w:rsidR="00DC291A" w:rsidRDefault="00DC291A">
                            <w:r>
                              <w:t xml:space="preserve">Unglazed Pool Collector </w:t>
                            </w:r>
                            <w:r>
                              <w:tab/>
                              <w:t>Glazed Flat Plate</w:t>
                            </w:r>
                            <w:r>
                              <w:tab/>
                            </w:r>
                            <w:r>
                              <w:tab/>
                            </w:r>
                            <w:r>
                              <w:tab/>
                              <w:t>Evacuated Tube</w:t>
                            </w:r>
                          </w:p>
                          <w:p w:rsidR="00DC291A" w:rsidRPr="00DC291A" w:rsidRDefault="00DC291A">
                            <w:pPr>
                              <w:rPr>
                                <w:sz w:val="12"/>
                              </w:rPr>
                            </w:pPr>
                            <w:r>
                              <w:rPr>
                                <w:sz w:val="12"/>
                              </w:rPr>
                              <w:t xml:space="preserve">Photo Courtesy: </w:t>
                            </w:r>
                            <w:proofErr w:type="spellStart"/>
                            <w:r>
                              <w:rPr>
                                <w:sz w:val="12"/>
                              </w:rPr>
                              <w:t>SunEarth</w:t>
                            </w:r>
                            <w:proofErr w:type="spellEnd"/>
                            <w:r>
                              <w:rPr>
                                <w:sz w:val="12"/>
                              </w:rPr>
                              <w:tab/>
                            </w:r>
                            <w:r>
                              <w:rPr>
                                <w:sz w:val="12"/>
                              </w:rPr>
                              <w:tab/>
                            </w:r>
                            <w:r>
                              <w:rPr>
                                <w:sz w:val="12"/>
                              </w:rPr>
                              <w:tab/>
                              <w:t xml:space="preserve">Photo Courtesy: </w:t>
                            </w:r>
                            <w:proofErr w:type="spellStart"/>
                            <w:r>
                              <w:rPr>
                                <w:sz w:val="12"/>
                              </w:rPr>
                              <w:t>SunEarth</w:t>
                            </w:r>
                            <w:proofErr w:type="spellEnd"/>
                            <w:r>
                              <w:rPr>
                                <w:sz w:val="12"/>
                              </w:rPr>
                              <w:t xml:space="preserve"> </w:t>
                            </w:r>
                            <w:r>
                              <w:rPr>
                                <w:sz w:val="12"/>
                              </w:rPr>
                              <w:tab/>
                            </w:r>
                            <w:r>
                              <w:rPr>
                                <w:sz w:val="12"/>
                              </w:rPr>
                              <w:tab/>
                            </w:r>
                            <w:r>
                              <w:rPr>
                                <w:sz w:val="12"/>
                              </w:rPr>
                              <w:tab/>
                            </w:r>
                            <w:r>
                              <w:rPr>
                                <w:sz w:val="12"/>
                              </w:rPr>
                              <w:tab/>
                              <w:t xml:space="preserve">Photo Courtesy: Camel Solar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pt;margin-top:121pt;width:427.95pt;height:4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" stroked="f">
                <v:textbox>
                  <w:txbxContent>
                    <w:p w:rsidR="00DC291A" w:rsidRDefault="00DC291A">
                      <w:r>
                        <w:t xml:space="preserve">Unglazed Pool Collector </w:t>
                      </w:r>
                      <w:r>
                        <w:tab/>
                        <w:t>Glazed Flat Plate</w:t>
                      </w:r>
                      <w:r>
                        <w:tab/>
                      </w:r>
                      <w:r>
                        <w:tab/>
                      </w:r>
                      <w:r>
                        <w:tab/>
                        <w:t>Evacuated Tube</w:t>
                      </w:r>
                    </w:p>
                    <w:p w:rsidR="00DC291A" w:rsidRPr="00DC291A" w:rsidRDefault="00DC291A">
                      <w:pPr>
                        <w:rPr>
                          <w:sz w:val="12"/>
                        </w:rPr>
                      </w:pPr>
                      <w:r>
                        <w:rPr>
                          <w:sz w:val="12"/>
                        </w:rPr>
                        <w:t xml:space="preserve">Photo Courtesy: </w:t>
                      </w:r>
                      <w:proofErr w:type="spellStart"/>
                      <w:r>
                        <w:rPr>
                          <w:sz w:val="12"/>
                        </w:rPr>
                        <w:t>SunEarth</w:t>
                      </w:r>
                      <w:proofErr w:type="spellEnd"/>
                      <w:r>
                        <w:rPr>
                          <w:sz w:val="12"/>
                        </w:rPr>
                        <w:tab/>
                      </w:r>
                      <w:r>
                        <w:rPr>
                          <w:sz w:val="12"/>
                        </w:rPr>
                        <w:tab/>
                      </w:r>
                      <w:r>
                        <w:rPr>
                          <w:sz w:val="12"/>
                        </w:rPr>
                        <w:tab/>
                        <w:t xml:space="preserve">Photo Courtesy: </w:t>
                      </w:r>
                      <w:proofErr w:type="spellStart"/>
                      <w:r>
                        <w:rPr>
                          <w:sz w:val="12"/>
                        </w:rPr>
                        <w:t>SunEarth</w:t>
                      </w:r>
                      <w:proofErr w:type="spellEnd"/>
                      <w:r>
                        <w:rPr>
                          <w:sz w:val="12"/>
                        </w:rPr>
                        <w:t xml:space="preserve"> </w:t>
                      </w:r>
                      <w:r>
                        <w:rPr>
                          <w:sz w:val="12"/>
                        </w:rPr>
                        <w:tab/>
                      </w:r>
                      <w:r>
                        <w:rPr>
                          <w:sz w:val="12"/>
                        </w:rPr>
                        <w:tab/>
                      </w:r>
                      <w:r>
                        <w:rPr>
                          <w:sz w:val="12"/>
                        </w:rPr>
                        <w:tab/>
                      </w:r>
                      <w:r>
                        <w:rPr>
                          <w:sz w:val="12"/>
                        </w:rPr>
                        <w:tab/>
                        <w:t xml:space="preserve">Photo Courtesy: Camel Solar </w:t>
                      </w:r>
                    </w:p>
                  </w:txbxContent>
                </v:textbox>
                <w10:wrap type="square"/>
              </v:shape>
            </w:pict>
          </mc:Fallback>
        </mc:AlternateContent>
      </w:r>
      <w:r>
        <w:rPr>
          <w:rFonts w:ascii="TimesNewRomanPSMT" w:hAnsi="TimesNewRomanPSMT" w:cs="TimesNewRomanPSMT"/>
          <w:noProof/>
        </w:rPr>
        <w:drawing>
          <wp:inline distT="0" distB="0" distL="0" distR="0" wp14:anchorId="66B03D96" wp14:editId="12379204">
            <wp:extent cx="1696006" cy="1360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5255" cy="1392115"/>
                    </a:xfrm>
                    <a:prstGeom prst="rect">
                      <a:avLst/>
                    </a:prstGeom>
                    <a:noFill/>
                    <a:ln>
                      <a:noFill/>
                    </a:ln>
                  </pic:spPr>
                </pic:pic>
              </a:graphicData>
            </a:graphic>
          </wp:inline>
        </w:drawing>
      </w:r>
      <w:r>
        <w:rPr>
          <w:rFonts w:ascii="TimesNewRomanPSMT" w:hAnsi="TimesNewRomanPSMT" w:cs="TimesNewRomanPSMT"/>
          <w:noProof/>
        </w:rPr>
        <w:drawing>
          <wp:inline distT="0" distB="0" distL="0" distR="0" wp14:anchorId="74DF6016" wp14:editId="387613EB">
            <wp:extent cx="1819814" cy="102364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913" cy="1215514"/>
                    </a:xfrm>
                    <a:prstGeom prst="rect">
                      <a:avLst/>
                    </a:prstGeom>
                    <a:noFill/>
                    <a:ln>
                      <a:noFill/>
                    </a:ln>
                  </pic:spPr>
                </pic:pic>
              </a:graphicData>
            </a:graphic>
          </wp:inline>
        </w:drawing>
      </w:r>
      <w:r>
        <w:rPr>
          <w:noProof/>
        </w:rPr>
        <w:drawing>
          <wp:inline distT="0" distB="0" distL="0" distR="0" wp14:anchorId="0041941E" wp14:editId="6EDBF2B3">
            <wp:extent cx="1714756" cy="1250899"/>
            <wp:effectExtent l="0" t="0" r="0" b="0"/>
            <wp:docPr id="4" name="Picture 4" descr="Image result for evacuated tubes mod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vacuated tubes model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101" cy="1262823"/>
                    </a:xfrm>
                    <a:prstGeom prst="rect">
                      <a:avLst/>
                    </a:prstGeom>
                    <a:noFill/>
                    <a:ln>
                      <a:noFill/>
                    </a:ln>
                  </pic:spPr>
                </pic:pic>
              </a:graphicData>
            </a:graphic>
          </wp:inline>
        </w:drawing>
      </w:r>
    </w:p>
    <w:p w:rsidR="00DC291A" w:rsidRDefault="00DC291A" w:rsidP="00DC291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lastRenderedPageBreak/>
        <w:t>What About Low-Sun Conditions?</w:t>
      </w:r>
    </w:p>
    <w:p w:rsidR="00DC291A" w:rsidRDefault="00DC291A" w:rsidP="00DC291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 performance charts above are only part of the efficiency equation. The other factor is the amount of</w:t>
      </w:r>
    </w:p>
    <w:p w:rsidR="00DC291A" w:rsidRDefault="00DC291A" w:rsidP="00DC291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sunshine (i.e., irradiance) on the collector. The lower the amount of sun, the greater the advantage of glazed over unglazed and evacuated tube over glazed. However, this is a double-edged sword as doubling the efficiency at low sun doesn’t mean much if there wasn’t much sun to begin with. Actual collector output is the input times efficiency (Input x Efficiency), therefore if the input is nothing to start with but your efficiency is high, you still don’t get much out.</w:t>
      </w:r>
    </w:p>
    <w:p w:rsidR="00DC291A" w:rsidRDefault="00DC291A" w:rsidP="00DC291A">
      <w:pPr>
        <w:autoSpaceDE w:val="0"/>
        <w:autoSpaceDN w:val="0"/>
        <w:adjustRightInd w:val="0"/>
        <w:spacing w:after="0" w:line="240" w:lineRule="auto"/>
        <w:rPr>
          <w:rFonts w:ascii="TimesNewRomanPSMT" w:hAnsi="TimesNewRomanPSMT" w:cs="TimesNewRomanPSMT"/>
        </w:rPr>
      </w:pPr>
    </w:p>
    <w:p w:rsidR="00DC291A" w:rsidRDefault="00DC291A" w:rsidP="00DC291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SRCC OG-100, the Final Word</w:t>
      </w:r>
    </w:p>
    <w:p w:rsidR="00DC291A" w:rsidRDefault="00DC291A" w:rsidP="00DC291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Arguments could be made all day long about flat plates versus evacuated tubes and the benefits under various operating conditions. The table below was created using the data from </w:t>
      </w:r>
      <w:r w:rsidR="00EA1AD2">
        <w:rPr>
          <w:rFonts w:ascii="TimesNewRomanPSMT" w:hAnsi="TimesNewRomanPSMT" w:cs="TimesNewRomanPSMT"/>
        </w:rPr>
        <w:t xml:space="preserve">SRCC OG-100 certification for </w:t>
      </w:r>
      <w:proofErr w:type="spellStart"/>
      <w:r w:rsidR="00EA1AD2">
        <w:rPr>
          <w:rFonts w:ascii="TimesNewRomanPSMT" w:hAnsi="TimesNewRomanPSMT" w:cs="TimesNewRomanPSMT"/>
        </w:rPr>
        <w:t>SunEarth</w:t>
      </w:r>
      <w:proofErr w:type="spellEnd"/>
      <w:r w:rsidR="00EA1AD2">
        <w:rPr>
          <w:rFonts w:ascii="TimesNewRomanPSMT" w:hAnsi="TimesNewRomanPSMT" w:cs="TimesNewRomanPSMT"/>
        </w:rPr>
        <w:t xml:space="preserve"> </w:t>
      </w:r>
      <w:proofErr w:type="spellStart"/>
      <w:r w:rsidR="00EA1AD2">
        <w:rPr>
          <w:rFonts w:ascii="TimesNewRomanPSMT" w:hAnsi="TimesNewRomanPSMT" w:cs="TimesNewRomanPSMT"/>
        </w:rPr>
        <w:t>ThermoRay</w:t>
      </w:r>
      <w:proofErr w:type="spellEnd"/>
      <w:r w:rsidR="00EA1AD2">
        <w:rPr>
          <w:rFonts w:ascii="TimesNewRomanPSMT" w:hAnsi="TimesNewRomanPSMT" w:cs="TimesNewRomanPSMT"/>
        </w:rPr>
        <w:t xml:space="preserve"> TRB</w:t>
      </w:r>
      <w:r w:rsidR="007F1723">
        <w:rPr>
          <w:rFonts w:ascii="TimesNewRomanPSMT" w:hAnsi="TimesNewRomanPSMT" w:cs="TimesNewRomanPSMT"/>
        </w:rPr>
        <w:t>-</w:t>
      </w:r>
      <w:r w:rsidR="00EA1AD2">
        <w:rPr>
          <w:rFonts w:ascii="TimesNewRomanPSMT" w:hAnsi="TimesNewRomanPSMT" w:cs="TimesNewRomanPSMT"/>
        </w:rPr>
        <w:t>40 with a gross area of 40.90 ft</w:t>
      </w:r>
      <w:r w:rsidR="00EA1AD2" w:rsidRPr="007F1723">
        <w:rPr>
          <w:rFonts w:ascii="TimesNewRomanPSMT" w:hAnsi="TimesNewRomanPSMT" w:cs="TimesNewRomanPSMT"/>
          <w:vertAlign w:val="superscript"/>
        </w:rPr>
        <w:t>2</w:t>
      </w:r>
      <w:r w:rsidR="00EA1AD2">
        <w:rPr>
          <w:rFonts w:ascii="TimesNewRomanPSMT" w:hAnsi="TimesNewRomanPSMT" w:cs="TimesNewRomanPSMT"/>
        </w:rPr>
        <w:t xml:space="preserve"> and </w:t>
      </w:r>
      <w:proofErr w:type="spellStart"/>
      <w:r w:rsidR="00EA1AD2">
        <w:rPr>
          <w:rFonts w:ascii="TimesNewRomanPSMT" w:hAnsi="TimesNewRomanPSMT" w:cs="TimesNewRomanPSMT"/>
        </w:rPr>
        <w:t>SunMaxx</w:t>
      </w:r>
      <w:proofErr w:type="spellEnd"/>
      <w:r w:rsidR="00EA1AD2">
        <w:rPr>
          <w:rFonts w:ascii="TimesNewRomanPSMT" w:hAnsi="TimesNewRomanPSMT" w:cs="TimesNewRomanPSMT"/>
        </w:rPr>
        <w:t xml:space="preserve"> Solar Thermopower VHP20 with a gross area of </w:t>
      </w:r>
      <w:r w:rsidR="007F1723">
        <w:rPr>
          <w:rFonts w:ascii="TimesNewRomanPSMT" w:hAnsi="TimesNewRomanPSMT" w:cs="TimesNewRomanPSMT"/>
        </w:rPr>
        <w:t>37.42 ft</w:t>
      </w:r>
      <w:r w:rsidR="007F1723" w:rsidRPr="007F1723">
        <w:rPr>
          <w:rFonts w:ascii="TimesNewRomanPSMT" w:hAnsi="TimesNewRomanPSMT" w:cs="TimesNewRomanPSMT"/>
          <w:vertAlign w:val="superscript"/>
        </w:rPr>
        <w:t>2</w:t>
      </w:r>
      <w:r w:rsidR="007F1723">
        <w:rPr>
          <w:rFonts w:ascii="TimesNewRomanPSMT" w:hAnsi="TimesNewRomanPSMT" w:cs="TimesNewRomanPSMT"/>
        </w:rPr>
        <w:t>. In order to have a correct comparison of two collector performances, the energy production per square foot was calculated</w:t>
      </w:r>
      <w:r w:rsidR="001810F8">
        <w:rPr>
          <w:rFonts w:ascii="TimesNewRomanPSMT" w:hAnsi="TimesNewRomanPSMT" w:cs="TimesNewRomanPSMT"/>
        </w:rPr>
        <w:t xml:space="preserve">. </w:t>
      </w:r>
    </w:p>
    <w:p w:rsidR="00DC291A" w:rsidRPr="001810F8" w:rsidRDefault="001810F8" w:rsidP="001810F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As shown below, the evacuated tubes have higher performance over flat panel collectors in 3 instances, where the temperature difference is either high or very high and you have very little solar power coming from the sun to begin with. This translates to more annual savings for flat panel collector, since they have the highest </w:t>
      </w:r>
      <w:r w:rsidR="003811D0" w:rsidRPr="00CD65F7">
        <w:rPr>
          <w:rFonts w:ascii="TimesNewRomanPSMT" w:hAnsi="TimesNewRomanPSMT" w:cs="TimesNewRomanPSMT"/>
        </w:rPr>
        <w:t xml:space="preserve">output in all instances aside from low </w:t>
      </w:r>
      <w:r w:rsidRPr="00CD65F7">
        <w:rPr>
          <w:rFonts w:ascii="TimesNewRomanPSMT" w:hAnsi="TimesNewRomanPSMT" w:cs="TimesNewRomanPSMT"/>
        </w:rPr>
        <w:t xml:space="preserve">solar irradiance </w:t>
      </w:r>
      <w:r w:rsidR="003811D0" w:rsidRPr="00CD65F7">
        <w:rPr>
          <w:rFonts w:ascii="TimesNewRomanPSMT" w:hAnsi="TimesNewRomanPSMT" w:cs="TimesNewRomanPSMT"/>
        </w:rPr>
        <w:t>and extremely cold</w:t>
      </w:r>
      <w:r w:rsidR="00CD65F7">
        <w:rPr>
          <w:rFonts w:ascii="TimesNewRomanPSMT" w:hAnsi="TimesNewRomanPSMT" w:cs="TimesNewRomanPSMT"/>
        </w:rPr>
        <w:t xml:space="preserve"> </w:t>
      </w:r>
      <w:r w:rsidR="003811D0" w:rsidRPr="00CD65F7">
        <w:rPr>
          <w:rFonts w:ascii="TimesNewRomanPSMT" w:hAnsi="TimesNewRomanPSMT" w:cs="TimesNewRomanPSMT"/>
        </w:rPr>
        <w:t>(below 20</w:t>
      </w:r>
      <w:r w:rsidR="003811D0" w:rsidRPr="00CD65F7">
        <w:rPr>
          <w:rFonts w:ascii="Times New Roman" w:hAnsi="Times New Roman" w:cs="Times New Roman"/>
        </w:rPr>
        <w:t>°</w:t>
      </w:r>
      <w:r w:rsidR="003811D0" w:rsidRPr="00CD65F7">
        <w:rPr>
          <w:rFonts w:ascii="TimesNewRomanPSMT" w:hAnsi="TimesNewRomanPSMT" w:cs="TimesNewRomanPSMT"/>
        </w:rPr>
        <w:t>F) ambient temperature conditions.</w:t>
      </w:r>
      <w:r w:rsidRPr="00CD65F7">
        <w:rPr>
          <w:rFonts w:ascii="TimesNewRomanPSMT" w:hAnsi="TimesNewRomanPSMT" w:cs="TimesNewRomanPSMT"/>
        </w:rPr>
        <w:t xml:space="preserve"> </w:t>
      </w:r>
    </w:p>
    <w:tbl>
      <w:tblPr>
        <w:tblStyle w:val="GridTable5Dark-Accent5"/>
        <w:tblpPr w:leftFromText="180" w:rightFromText="180" w:vertAnchor="text" w:horzAnchor="margin" w:tblpY="366"/>
        <w:tblW w:w="9964" w:type="dxa"/>
        <w:tblLook w:val="04A0" w:firstRow="1" w:lastRow="0" w:firstColumn="1" w:lastColumn="0" w:noHBand="0" w:noVBand="1"/>
      </w:tblPr>
      <w:tblGrid>
        <w:gridCol w:w="2491"/>
        <w:gridCol w:w="1245"/>
        <w:gridCol w:w="1246"/>
        <w:gridCol w:w="1245"/>
        <w:gridCol w:w="1246"/>
        <w:gridCol w:w="1245"/>
        <w:gridCol w:w="1246"/>
      </w:tblGrid>
      <w:tr w:rsidR="00DC291A" w:rsidTr="00DC291A">
        <w:trPr>
          <w:cnfStyle w:val="100000000000" w:firstRow="1" w:lastRow="0"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9964" w:type="dxa"/>
            <w:gridSpan w:val="7"/>
          </w:tcPr>
          <w:p w:rsidR="00DC291A" w:rsidRPr="00587D38" w:rsidRDefault="00DC291A" w:rsidP="00DC291A">
            <w:pPr>
              <w:jc w:val="center"/>
            </w:pPr>
            <w:r>
              <w:t>Based on SRCC OG-100 data | BTU/</w:t>
            </w:r>
            <w:r w:rsidRPr="00587D38">
              <w:t>ft2</w:t>
            </w:r>
            <w:r>
              <w:t>/</w:t>
            </w:r>
            <w:r w:rsidRPr="00587D38">
              <w:t>Day</w:t>
            </w:r>
          </w:p>
        </w:tc>
      </w:tr>
      <w:tr w:rsidR="00DC291A" w:rsidTr="00DC291A">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491" w:type="dxa"/>
          </w:tcPr>
          <w:p w:rsidR="00DC291A" w:rsidRDefault="00DC291A" w:rsidP="00DC291A">
            <w:r>
              <w:t xml:space="preserve">Model:  </w:t>
            </w:r>
          </w:p>
        </w:tc>
        <w:tc>
          <w:tcPr>
            <w:tcW w:w="1245" w:type="dxa"/>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b/>
              </w:rPr>
            </w:pPr>
            <w:r w:rsidRPr="00E91A17">
              <w:rPr>
                <w:b/>
              </w:rPr>
              <w:t>TRB-40</w:t>
            </w:r>
          </w:p>
        </w:tc>
        <w:tc>
          <w:tcPr>
            <w:tcW w:w="1246" w:type="dxa"/>
            <w:tcBorders>
              <w:right w:val="single" w:sz="12" w:space="0" w:color="auto"/>
            </w:tcBorders>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b/>
              </w:rPr>
            </w:pPr>
            <w:r w:rsidRPr="00E91A17">
              <w:rPr>
                <w:b/>
              </w:rPr>
              <w:t>VHP20</w:t>
            </w:r>
          </w:p>
        </w:tc>
        <w:tc>
          <w:tcPr>
            <w:tcW w:w="1245" w:type="dxa"/>
            <w:tcBorders>
              <w:left w:val="single" w:sz="12" w:space="0" w:color="auto"/>
            </w:tcBorders>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b/>
              </w:rPr>
            </w:pPr>
            <w:r w:rsidRPr="00E91A17">
              <w:rPr>
                <w:b/>
              </w:rPr>
              <w:t>TRB-40</w:t>
            </w:r>
          </w:p>
        </w:tc>
        <w:tc>
          <w:tcPr>
            <w:tcW w:w="1246" w:type="dxa"/>
            <w:tcBorders>
              <w:right w:val="single" w:sz="12" w:space="0" w:color="auto"/>
            </w:tcBorders>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b/>
              </w:rPr>
            </w:pPr>
            <w:r w:rsidRPr="00E91A17">
              <w:rPr>
                <w:b/>
              </w:rPr>
              <w:t>VHP20</w:t>
            </w:r>
          </w:p>
        </w:tc>
        <w:tc>
          <w:tcPr>
            <w:tcW w:w="1245" w:type="dxa"/>
            <w:tcBorders>
              <w:left w:val="single" w:sz="12" w:space="0" w:color="auto"/>
            </w:tcBorders>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b/>
              </w:rPr>
            </w:pPr>
            <w:r w:rsidRPr="00E91A17">
              <w:rPr>
                <w:b/>
              </w:rPr>
              <w:t>TRB-40</w:t>
            </w:r>
          </w:p>
        </w:tc>
        <w:tc>
          <w:tcPr>
            <w:tcW w:w="1246" w:type="dxa"/>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b/>
              </w:rPr>
            </w:pPr>
            <w:r w:rsidRPr="00E91A17">
              <w:rPr>
                <w:b/>
              </w:rPr>
              <w:t>VHP20</w:t>
            </w:r>
          </w:p>
        </w:tc>
      </w:tr>
      <w:tr w:rsidR="00DC291A" w:rsidTr="00DC291A">
        <w:trPr>
          <w:trHeight w:val="126"/>
        </w:trPr>
        <w:tc>
          <w:tcPr>
            <w:cnfStyle w:val="001000000000" w:firstRow="0" w:lastRow="0" w:firstColumn="1" w:lastColumn="0" w:oddVBand="0" w:evenVBand="0" w:oddHBand="0" w:evenHBand="0" w:firstRowFirstColumn="0" w:firstRowLastColumn="0" w:lastRowFirstColumn="0" w:lastRowLastColumn="0"/>
            <w:tcW w:w="2491" w:type="dxa"/>
          </w:tcPr>
          <w:p w:rsidR="00DC291A" w:rsidRDefault="00DC291A" w:rsidP="00DC291A">
            <w:r>
              <w:t>Climate</w:t>
            </w:r>
            <w:r>
              <w:rPr>
                <w:rFonts w:cstheme="minorHAnsi"/>
              </w:rPr>
              <w:t>→</w:t>
            </w:r>
          </w:p>
        </w:tc>
        <w:tc>
          <w:tcPr>
            <w:tcW w:w="2491" w:type="dxa"/>
            <w:gridSpan w:val="2"/>
            <w:vMerge w:val="restart"/>
            <w:tcBorders>
              <w:right w:val="single" w:sz="12" w:space="0" w:color="auto"/>
            </w:tcBorders>
          </w:tcPr>
          <w:p w:rsidR="00DC291A" w:rsidRDefault="00DC291A" w:rsidP="00DC291A">
            <w:pPr>
              <w:jc w:val="center"/>
              <w:cnfStyle w:val="000000000000" w:firstRow="0" w:lastRow="0" w:firstColumn="0" w:lastColumn="0" w:oddVBand="0" w:evenVBand="0" w:oddHBand="0" w:evenHBand="0" w:firstRowFirstColumn="0" w:firstRowLastColumn="0" w:lastRowFirstColumn="0" w:lastRowLastColumn="0"/>
            </w:pPr>
            <w:r>
              <w:t>High Radiation</w:t>
            </w:r>
          </w:p>
          <w:p w:rsidR="00DC291A" w:rsidRPr="00587D38" w:rsidRDefault="00DC291A" w:rsidP="00DC291A">
            <w:pPr>
              <w:jc w:val="center"/>
              <w:cnfStyle w:val="000000000000" w:firstRow="0" w:lastRow="0" w:firstColumn="0" w:lastColumn="0" w:oddVBand="0" w:evenVBand="0" w:oddHBand="0" w:evenHBand="0" w:firstRowFirstColumn="0" w:firstRowLastColumn="0" w:lastRowFirstColumn="0" w:lastRowLastColumn="0"/>
            </w:pPr>
            <w:r>
              <w:t>(2000 Btu/ft</w:t>
            </w:r>
            <w:r w:rsidRPr="00587D38">
              <w:rPr>
                <w:vertAlign w:val="superscript"/>
              </w:rPr>
              <w:t>2</w:t>
            </w:r>
            <w:r>
              <w:t>.day)</w:t>
            </w:r>
          </w:p>
        </w:tc>
        <w:tc>
          <w:tcPr>
            <w:tcW w:w="2491" w:type="dxa"/>
            <w:gridSpan w:val="2"/>
            <w:vMerge w:val="restart"/>
            <w:tcBorders>
              <w:left w:val="single" w:sz="12" w:space="0" w:color="auto"/>
              <w:right w:val="single" w:sz="12" w:space="0" w:color="auto"/>
            </w:tcBorders>
          </w:tcPr>
          <w:p w:rsidR="00DC291A" w:rsidRDefault="00DC291A" w:rsidP="00DC291A">
            <w:pPr>
              <w:jc w:val="center"/>
              <w:cnfStyle w:val="000000000000" w:firstRow="0" w:lastRow="0" w:firstColumn="0" w:lastColumn="0" w:oddVBand="0" w:evenVBand="0" w:oddHBand="0" w:evenHBand="0" w:firstRowFirstColumn="0" w:firstRowLastColumn="0" w:lastRowFirstColumn="0" w:lastRowLastColumn="0"/>
            </w:pPr>
            <w:r>
              <w:t>Medium Radiation (1500Btu/ft</w:t>
            </w:r>
            <w:r w:rsidRPr="00587D38">
              <w:rPr>
                <w:vertAlign w:val="superscript"/>
              </w:rPr>
              <w:t>2</w:t>
            </w:r>
            <w:r>
              <w:t>.day)</w:t>
            </w:r>
          </w:p>
        </w:tc>
        <w:tc>
          <w:tcPr>
            <w:tcW w:w="2491" w:type="dxa"/>
            <w:gridSpan w:val="2"/>
            <w:vMerge w:val="restart"/>
            <w:tcBorders>
              <w:left w:val="single" w:sz="12" w:space="0" w:color="auto"/>
            </w:tcBorders>
          </w:tcPr>
          <w:p w:rsidR="00DC291A" w:rsidRDefault="00DC291A" w:rsidP="00DC291A">
            <w:pPr>
              <w:jc w:val="center"/>
              <w:cnfStyle w:val="000000000000" w:firstRow="0" w:lastRow="0" w:firstColumn="0" w:lastColumn="0" w:oddVBand="0" w:evenVBand="0" w:oddHBand="0" w:evenHBand="0" w:firstRowFirstColumn="0" w:firstRowLastColumn="0" w:lastRowFirstColumn="0" w:lastRowLastColumn="0"/>
            </w:pPr>
            <w:r>
              <w:t>Low Radiation</w:t>
            </w:r>
          </w:p>
          <w:p w:rsidR="00DC291A" w:rsidRDefault="00DC291A" w:rsidP="00DC291A">
            <w:pPr>
              <w:jc w:val="center"/>
              <w:cnfStyle w:val="000000000000" w:firstRow="0" w:lastRow="0" w:firstColumn="0" w:lastColumn="0" w:oddVBand="0" w:evenVBand="0" w:oddHBand="0" w:evenHBand="0" w:firstRowFirstColumn="0" w:firstRowLastColumn="0" w:lastRowFirstColumn="0" w:lastRowLastColumn="0"/>
            </w:pPr>
            <w:r>
              <w:t>(1000 Btu/ft</w:t>
            </w:r>
            <w:r w:rsidRPr="00587D38">
              <w:rPr>
                <w:vertAlign w:val="superscript"/>
              </w:rPr>
              <w:t>2</w:t>
            </w:r>
            <w:r>
              <w:t>.day)</w:t>
            </w:r>
          </w:p>
        </w:tc>
      </w:tr>
      <w:tr w:rsidR="00DC291A" w:rsidTr="00DC291A">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491" w:type="dxa"/>
          </w:tcPr>
          <w:p w:rsidR="00DC291A" w:rsidRDefault="00DC291A" w:rsidP="00DC291A">
            <w:pPr>
              <w:rPr>
                <w:rFonts w:ascii="Calibri" w:hAnsi="Calibri" w:cs="Calibri"/>
              </w:rPr>
            </w:pPr>
            <w:r>
              <w:t xml:space="preserve">Category </w:t>
            </w:r>
            <w:r>
              <w:rPr>
                <w:rFonts w:ascii="Calibri" w:hAnsi="Calibri" w:cs="Calibri"/>
              </w:rPr>
              <w:t>↓</w:t>
            </w:r>
          </w:p>
          <w:p w:rsidR="00DC291A" w:rsidRDefault="00DC291A" w:rsidP="00DC291A">
            <w:r>
              <w:t>(</w:t>
            </w:r>
            <w:proofErr w:type="spellStart"/>
            <w:r>
              <w:t>Ti</w:t>
            </w:r>
            <w:proofErr w:type="spellEnd"/>
            <w:r>
              <w:t>-Ta)</w:t>
            </w:r>
          </w:p>
        </w:tc>
        <w:tc>
          <w:tcPr>
            <w:tcW w:w="2491" w:type="dxa"/>
            <w:gridSpan w:val="2"/>
            <w:vMerge/>
            <w:tcBorders>
              <w:right w:val="single" w:sz="12" w:space="0" w:color="auto"/>
            </w:tcBorders>
          </w:tcPr>
          <w:p w:rsidR="00DC291A" w:rsidRDefault="00DC291A" w:rsidP="00DC291A">
            <w:pPr>
              <w:cnfStyle w:val="000000100000" w:firstRow="0" w:lastRow="0" w:firstColumn="0" w:lastColumn="0" w:oddVBand="0" w:evenVBand="0" w:oddHBand="1" w:evenHBand="0" w:firstRowFirstColumn="0" w:firstRowLastColumn="0" w:lastRowFirstColumn="0" w:lastRowLastColumn="0"/>
            </w:pPr>
          </w:p>
        </w:tc>
        <w:tc>
          <w:tcPr>
            <w:tcW w:w="2491" w:type="dxa"/>
            <w:gridSpan w:val="2"/>
            <w:vMerge/>
            <w:tcBorders>
              <w:left w:val="single" w:sz="12" w:space="0" w:color="auto"/>
              <w:right w:val="single" w:sz="12" w:space="0" w:color="auto"/>
            </w:tcBorders>
          </w:tcPr>
          <w:p w:rsidR="00DC291A" w:rsidRDefault="00DC291A" w:rsidP="00DC291A">
            <w:pPr>
              <w:cnfStyle w:val="000000100000" w:firstRow="0" w:lastRow="0" w:firstColumn="0" w:lastColumn="0" w:oddVBand="0" w:evenVBand="0" w:oddHBand="1" w:evenHBand="0" w:firstRowFirstColumn="0" w:firstRowLastColumn="0" w:lastRowFirstColumn="0" w:lastRowLastColumn="0"/>
            </w:pPr>
          </w:p>
        </w:tc>
        <w:tc>
          <w:tcPr>
            <w:tcW w:w="2491" w:type="dxa"/>
            <w:gridSpan w:val="2"/>
            <w:vMerge/>
            <w:tcBorders>
              <w:left w:val="single" w:sz="12" w:space="0" w:color="auto"/>
            </w:tcBorders>
          </w:tcPr>
          <w:p w:rsidR="00DC291A" w:rsidRDefault="00DC291A" w:rsidP="00DC291A">
            <w:pPr>
              <w:cnfStyle w:val="000000100000" w:firstRow="0" w:lastRow="0" w:firstColumn="0" w:lastColumn="0" w:oddVBand="0" w:evenVBand="0" w:oddHBand="1" w:evenHBand="0" w:firstRowFirstColumn="0" w:firstRowLastColumn="0" w:lastRowFirstColumn="0" w:lastRowLastColumn="0"/>
            </w:pPr>
          </w:p>
        </w:tc>
      </w:tr>
      <w:tr w:rsidR="00DC291A" w:rsidTr="00DC291A">
        <w:trPr>
          <w:trHeight w:val="322"/>
        </w:trPr>
        <w:tc>
          <w:tcPr>
            <w:cnfStyle w:val="001000000000" w:firstRow="0" w:lastRow="0" w:firstColumn="1" w:lastColumn="0" w:oddVBand="0" w:evenVBand="0" w:oddHBand="0" w:evenHBand="0" w:firstRowFirstColumn="0" w:firstRowLastColumn="0" w:lastRowFirstColumn="0" w:lastRowLastColumn="0"/>
            <w:tcW w:w="2491" w:type="dxa"/>
          </w:tcPr>
          <w:p w:rsidR="00DC291A" w:rsidRDefault="00DC291A" w:rsidP="00DC291A">
            <w:r>
              <w:t xml:space="preserve">A (-9 </w:t>
            </w:r>
            <w:r>
              <w:rPr>
                <w:rFonts w:cstheme="minorHAnsi"/>
              </w:rPr>
              <w:t>˚</w:t>
            </w:r>
            <w:r>
              <w:t>F)</w:t>
            </w:r>
          </w:p>
        </w:tc>
        <w:tc>
          <w:tcPr>
            <w:tcW w:w="1245" w:type="dxa"/>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green"/>
              </w:rPr>
            </w:pPr>
            <w:r w:rsidRPr="00E91A17">
              <w:rPr>
                <w:highlight w:val="green"/>
              </w:rPr>
              <w:t>1,477</w:t>
            </w:r>
          </w:p>
        </w:tc>
        <w:tc>
          <w:tcPr>
            <w:tcW w:w="1246" w:type="dxa"/>
            <w:tcBorders>
              <w:right w:val="single" w:sz="12" w:space="0" w:color="auto"/>
            </w:tcBorders>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yellow"/>
              </w:rPr>
            </w:pPr>
            <w:r w:rsidRPr="00E91A17">
              <w:rPr>
                <w:highlight w:val="yellow"/>
              </w:rPr>
              <w:t>858</w:t>
            </w:r>
          </w:p>
        </w:tc>
        <w:tc>
          <w:tcPr>
            <w:tcW w:w="1245" w:type="dxa"/>
            <w:tcBorders>
              <w:left w:val="single" w:sz="12" w:space="0" w:color="auto"/>
            </w:tcBorders>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green"/>
              </w:rPr>
            </w:pPr>
            <w:r w:rsidRPr="00E91A17">
              <w:rPr>
                <w:highlight w:val="green"/>
              </w:rPr>
              <w:t>1,117</w:t>
            </w:r>
          </w:p>
        </w:tc>
        <w:tc>
          <w:tcPr>
            <w:tcW w:w="1246" w:type="dxa"/>
            <w:tcBorders>
              <w:right w:val="single" w:sz="12" w:space="0" w:color="auto"/>
            </w:tcBorders>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yellow"/>
              </w:rPr>
            </w:pPr>
            <w:r w:rsidRPr="00E91A17">
              <w:rPr>
                <w:highlight w:val="yellow"/>
              </w:rPr>
              <w:t>644</w:t>
            </w:r>
          </w:p>
        </w:tc>
        <w:tc>
          <w:tcPr>
            <w:tcW w:w="1245" w:type="dxa"/>
            <w:tcBorders>
              <w:left w:val="single" w:sz="12" w:space="0" w:color="auto"/>
            </w:tcBorders>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green"/>
              </w:rPr>
            </w:pPr>
            <w:r w:rsidRPr="00E91A17">
              <w:rPr>
                <w:highlight w:val="green"/>
              </w:rPr>
              <w:t>760</w:t>
            </w:r>
          </w:p>
        </w:tc>
        <w:tc>
          <w:tcPr>
            <w:tcW w:w="1246" w:type="dxa"/>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yellow"/>
              </w:rPr>
            </w:pPr>
            <w:r w:rsidRPr="00E91A17">
              <w:rPr>
                <w:highlight w:val="yellow"/>
              </w:rPr>
              <w:t>430</w:t>
            </w:r>
          </w:p>
        </w:tc>
      </w:tr>
      <w:tr w:rsidR="00DC291A" w:rsidTr="00DC291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91" w:type="dxa"/>
          </w:tcPr>
          <w:p w:rsidR="00DC291A" w:rsidRDefault="00DC291A" w:rsidP="00DC291A">
            <w:r>
              <w:t xml:space="preserve">B (9 </w:t>
            </w:r>
            <w:r>
              <w:rPr>
                <w:rFonts w:cstheme="minorHAnsi"/>
              </w:rPr>
              <w:t>˚</w:t>
            </w:r>
            <w:r>
              <w:t>F)</w:t>
            </w:r>
          </w:p>
        </w:tc>
        <w:tc>
          <w:tcPr>
            <w:tcW w:w="1245" w:type="dxa"/>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highlight w:val="green"/>
              </w:rPr>
            </w:pPr>
            <w:r w:rsidRPr="00E91A17">
              <w:rPr>
                <w:highlight w:val="green"/>
              </w:rPr>
              <w:t>1,347</w:t>
            </w:r>
          </w:p>
        </w:tc>
        <w:tc>
          <w:tcPr>
            <w:tcW w:w="1246" w:type="dxa"/>
            <w:tcBorders>
              <w:right w:val="single" w:sz="12" w:space="0" w:color="auto"/>
            </w:tcBorders>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highlight w:val="yellow"/>
              </w:rPr>
            </w:pPr>
            <w:r w:rsidRPr="00E91A17">
              <w:rPr>
                <w:highlight w:val="yellow"/>
              </w:rPr>
              <w:t>837</w:t>
            </w:r>
          </w:p>
        </w:tc>
        <w:tc>
          <w:tcPr>
            <w:tcW w:w="1245" w:type="dxa"/>
            <w:tcBorders>
              <w:left w:val="single" w:sz="12" w:space="0" w:color="auto"/>
            </w:tcBorders>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highlight w:val="green"/>
              </w:rPr>
            </w:pPr>
            <w:r w:rsidRPr="00E91A17">
              <w:rPr>
                <w:highlight w:val="green"/>
              </w:rPr>
              <w:t>988</w:t>
            </w:r>
          </w:p>
        </w:tc>
        <w:tc>
          <w:tcPr>
            <w:tcW w:w="1246" w:type="dxa"/>
            <w:tcBorders>
              <w:right w:val="single" w:sz="12" w:space="0" w:color="auto"/>
            </w:tcBorders>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highlight w:val="yellow"/>
              </w:rPr>
            </w:pPr>
            <w:r w:rsidRPr="00E91A17">
              <w:rPr>
                <w:highlight w:val="yellow"/>
              </w:rPr>
              <w:t>623</w:t>
            </w:r>
          </w:p>
        </w:tc>
        <w:tc>
          <w:tcPr>
            <w:tcW w:w="1245" w:type="dxa"/>
            <w:tcBorders>
              <w:left w:val="single" w:sz="12" w:space="0" w:color="auto"/>
            </w:tcBorders>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highlight w:val="green"/>
              </w:rPr>
            </w:pPr>
            <w:r w:rsidRPr="00E91A17">
              <w:rPr>
                <w:highlight w:val="green"/>
              </w:rPr>
              <w:t>631</w:t>
            </w:r>
          </w:p>
        </w:tc>
        <w:tc>
          <w:tcPr>
            <w:tcW w:w="1246" w:type="dxa"/>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highlight w:val="yellow"/>
              </w:rPr>
            </w:pPr>
            <w:r w:rsidRPr="00E91A17">
              <w:rPr>
                <w:highlight w:val="yellow"/>
              </w:rPr>
              <w:t>409</w:t>
            </w:r>
          </w:p>
        </w:tc>
      </w:tr>
      <w:tr w:rsidR="00DC291A" w:rsidTr="00DC291A">
        <w:trPr>
          <w:trHeight w:val="336"/>
        </w:trPr>
        <w:tc>
          <w:tcPr>
            <w:cnfStyle w:val="001000000000" w:firstRow="0" w:lastRow="0" w:firstColumn="1" w:lastColumn="0" w:oddVBand="0" w:evenVBand="0" w:oddHBand="0" w:evenHBand="0" w:firstRowFirstColumn="0" w:firstRowLastColumn="0" w:lastRowFirstColumn="0" w:lastRowLastColumn="0"/>
            <w:tcW w:w="2491" w:type="dxa"/>
          </w:tcPr>
          <w:p w:rsidR="00DC291A" w:rsidRDefault="00DC291A" w:rsidP="00DC291A">
            <w:r>
              <w:t xml:space="preserve">C (36 </w:t>
            </w:r>
            <w:r>
              <w:rPr>
                <w:rFonts w:cstheme="minorHAnsi"/>
              </w:rPr>
              <w:t>˚</w:t>
            </w:r>
            <w:r>
              <w:t>F)</w:t>
            </w:r>
          </w:p>
        </w:tc>
        <w:tc>
          <w:tcPr>
            <w:tcW w:w="1245" w:type="dxa"/>
          </w:tcPr>
          <w:p w:rsidR="00DC291A" w:rsidRDefault="00DC291A" w:rsidP="00DC291A">
            <w:pPr>
              <w:jc w:val="center"/>
              <w:cnfStyle w:val="000000000000" w:firstRow="0" w:lastRow="0" w:firstColumn="0" w:lastColumn="0" w:oddVBand="0" w:evenVBand="0" w:oddHBand="0" w:evenHBand="0" w:firstRowFirstColumn="0" w:firstRowLastColumn="0" w:lastRowFirstColumn="0" w:lastRowLastColumn="0"/>
            </w:pPr>
            <w:r w:rsidRPr="00E91A17">
              <w:rPr>
                <w:highlight w:val="green"/>
              </w:rPr>
              <w:t>1,142</w:t>
            </w:r>
          </w:p>
        </w:tc>
        <w:tc>
          <w:tcPr>
            <w:tcW w:w="1246" w:type="dxa"/>
            <w:tcBorders>
              <w:right w:val="single" w:sz="12" w:space="0" w:color="auto"/>
            </w:tcBorders>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yellow"/>
              </w:rPr>
            </w:pPr>
            <w:r w:rsidRPr="00E91A17">
              <w:rPr>
                <w:highlight w:val="yellow"/>
              </w:rPr>
              <w:t>783</w:t>
            </w:r>
          </w:p>
        </w:tc>
        <w:tc>
          <w:tcPr>
            <w:tcW w:w="1245" w:type="dxa"/>
            <w:tcBorders>
              <w:left w:val="single" w:sz="12" w:space="0" w:color="auto"/>
            </w:tcBorders>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green"/>
              </w:rPr>
            </w:pPr>
            <w:r w:rsidRPr="00E91A17">
              <w:rPr>
                <w:highlight w:val="green"/>
              </w:rPr>
              <w:t>792</w:t>
            </w:r>
          </w:p>
        </w:tc>
        <w:tc>
          <w:tcPr>
            <w:tcW w:w="1246" w:type="dxa"/>
            <w:tcBorders>
              <w:right w:val="single" w:sz="12" w:space="0" w:color="auto"/>
            </w:tcBorders>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yellow"/>
              </w:rPr>
            </w:pPr>
            <w:r w:rsidRPr="00E91A17">
              <w:rPr>
                <w:highlight w:val="yellow"/>
              </w:rPr>
              <w:t>569</w:t>
            </w:r>
          </w:p>
        </w:tc>
        <w:tc>
          <w:tcPr>
            <w:tcW w:w="1245" w:type="dxa"/>
            <w:tcBorders>
              <w:left w:val="single" w:sz="12" w:space="0" w:color="auto"/>
            </w:tcBorders>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green"/>
              </w:rPr>
            </w:pPr>
            <w:r w:rsidRPr="00E91A17">
              <w:rPr>
                <w:highlight w:val="green"/>
              </w:rPr>
              <w:t>447</w:t>
            </w:r>
          </w:p>
        </w:tc>
        <w:tc>
          <w:tcPr>
            <w:tcW w:w="1246" w:type="dxa"/>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yellow"/>
              </w:rPr>
            </w:pPr>
            <w:r w:rsidRPr="00E91A17">
              <w:rPr>
                <w:highlight w:val="yellow"/>
              </w:rPr>
              <w:t>355</w:t>
            </w:r>
          </w:p>
        </w:tc>
      </w:tr>
      <w:tr w:rsidR="00DC291A" w:rsidTr="00DC291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91" w:type="dxa"/>
          </w:tcPr>
          <w:p w:rsidR="00DC291A" w:rsidRDefault="00DC291A" w:rsidP="00DC291A">
            <w:r>
              <w:t xml:space="preserve">D (90 </w:t>
            </w:r>
            <w:r>
              <w:rPr>
                <w:rFonts w:cstheme="minorHAnsi"/>
              </w:rPr>
              <w:t>˚</w:t>
            </w:r>
            <w:r>
              <w:t>F)</w:t>
            </w:r>
          </w:p>
        </w:tc>
        <w:tc>
          <w:tcPr>
            <w:tcW w:w="1245" w:type="dxa"/>
          </w:tcPr>
          <w:p w:rsidR="00DC291A" w:rsidRDefault="00DC291A" w:rsidP="00DC291A">
            <w:pPr>
              <w:jc w:val="center"/>
              <w:cnfStyle w:val="000000100000" w:firstRow="0" w:lastRow="0" w:firstColumn="0" w:lastColumn="0" w:oddVBand="0" w:evenVBand="0" w:oddHBand="1" w:evenHBand="0" w:firstRowFirstColumn="0" w:firstRowLastColumn="0" w:lastRowFirstColumn="0" w:lastRowLastColumn="0"/>
            </w:pPr>
            <w:r w:rsidRPr="00E91A17">
              <w:rPr>
                <w:highlight w:val="green"/>
              </w:rPr>
              <w:t>780</w:t>
            </w:r>
          </w:p>
        </w:tc>
        <w:tc>
          <w:tcPr>
            <w:tcW w:w="1246" w:type="dxa"/>
            <w:tcBorders>
              <w:right w:val="single" w:sz="12" w:space="0" w:color="auto"/>
            </w:tcBorders>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highlight w:val="yellow"/>
              </w:rPr>
            </w:pPr>
            <w:r w:rsidRPr="00E91A17">
              <w:rPr>
                <w:highlight w:val="yellow"/>
              </w:rPr>
              <w:t>623</w:t>
            </w:r>
          </w:p>
        </w:tc>
        <w:tc>
          <w:tcPr>
            <w:tcW w:w="1245" w:type="dxa"/>
            <w:tcBorders>
              <w:left w:val="single" w:sz="12" w:space="0" w:color="auto"/>
            </w:tcBorders>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highlight w:val="green"/>
              </w:rPr>
            </w:pPr>
            <w:r w:rsidRPr="00E91A17">
              <w:rPr>
                <w:highlight w:val="green"/>
              </w:rPr>
              <w:t>447</w:t>
            </w:r>
          </w:p>
        </w:tc>
        <w:tc>
          <w:tcPr>
            <w:tcW w:w="1246" w:type="dxa"/>
            <w:tcBorders>
              <w:right w:val="single" w:sz="12" w:space="0" w:color="auto"/>
            </w:tcBorders>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highlight w:val="yellow"/>
              </w:rPr>
            </w:pPr>
            <w:r w:rsidRPr="00E91A17">
              <w:rPr>
                <w:highlight w:val="yellow"/>
              </w:rPr>
              <w:t>414</w:t>
            </w:r>
          </w:p>
        </w:tc>
        <w:tc>
          <w:tcPr>
            <w:tcW w:w="1245" w:type="dxa"/>
            <w:tcBorders>
              <w:left w:val="single" w:sz="12" w:space="0" w:color="auto"/>
            </w:tcBorders>
          </w:tcPr>
          <w:p w:rsidR="00DC291A" w:rsidRDefault="00DC291A" w:rsidP="00DC291A">
            <w:pPr>
              <w:jc w:val="center"/>
              <w:cnfStyle w:val="000000100000" w:firstRow="0" w:lastRow="0" w:firstColumn="0" w:lastColumn="0" w:oddVBand="0" w:evenVBand="0" w:oddHBand="1" w:evenHBand="0" w:firstRowFirstColumn="0" w:firstRowLastColumn="0" w:lastRowFirstColumn="0" w:lastRowLastColumn="0"/>
            </w:pPr>
            <w:r w:rsidRPr="00E91A17">
              <w:rPr>
                <w:highlight w:val="yellow"/>
              </w:rPr>
              <w:t>147</w:t>
            </w:r>
          </w:p>
        </w:tc>
        <w:tc>
          <w:tcPr>
            <w:tcW w:w="1246" w:type="dxa"/>
          </w:tcPr>
          <w:p w:rsidR="00DC291A" w:rsidRPr="00E91A17" w:rsidRDefault="00DC291A" w:rsidP="00DC291A">
            <w:pPr>
              <w:jc w:val="center"/>
              <w:cnfStyle w:val="000000100000" w:firstRow="0" w:lastRow="0" w:firstColumn="0" w:lastColumn="0" w:oddVBand="0" w:evenVBand="0" w:oddHBand="1" w:evenHBand="0" w:firstRowFirstColumn="0" w:firstRowLastColumn="0" w:lastRowFirstColumn="0" w:lastRowLastColumn="0"/>
              <w:rPr>
                <w:highlight w:val="green"/>
              </w:rPr>
            </w:pPr>
            <w:r w:rsidRPr="00E91A17">
              <w:rPr>
                <w:highlight w:val="green"/>
              </w:rPr>
              <w:t>203</w:t>
            </w:r>
          </w:p>
        </w:tc>
      </w:tr>
      <w:tr w:rsidR="00DC291A" w:rsidTr="00DC291A">
        <w:trPr>
          <w:trHeight w:val="322"/>
        </w:trPr>
        <w:tc>
          <w:tcPr>
            <w:cnfStyle w:val="001000000000" w:firstRow="0" w:lastRow="0" w:firstColumn="1" w:lastColumn="0" w:oddVBand="0" w:evenVBand="0" w:oddHBand="0" w:evenHBand="0" w:firstRowFirstColumn="0" w:firstRowLastColumn="0" w:lastRowFirstColumn="0" w:lastRowLastColumn="0"/>
            <w:tcW w:w="2491" w:type="dxa"/>
          </w:tcPr>
          <w:p w:rsidR="00DC291A" w:rsidRDefault="00DC291A" w:rsidP="00DC291A">
            <w:r>
              <w:t xml:space="preserve">E (144 </w:t>
            </w:r>
            <w:r>
              <w:rPr>
                <w:rFonts w:cstheme="minorHAnsi"/>
              </w:rPr>
              <w:t>˚</w:t>
            </w:r>
            <w:r>
              <w:t>F)</w:t>
            </w:r>
          </w:p>
        </w:tc>
        <w:tc>
          <w:tcPr>
            <w:tcW w:w="1245" w:type="dxa"/>
          </w:tcPr>
          <w:p w:rsidR="00DC291A" w:rsidRDefault="00DC291A" w:rsidP="00DC291A">
            <w:pPr>
              <w:jc w:val="center"/>
              <w:cnfStyle w:val="000000000000" w:firstRow="0" w:lastRow="0" w:firstColumn="0" w:lastColumn="0" w:oddVBand="0" w:evenVBand="0" w:oddHBand="0" w:evenHBand="0" w:firstRowFirstColumn="0" w:firstRowLastColumn="0" w:lastRowFirstColumn="0" w:lastRowLastColumn="0"/>
            </w:pPr>
            <w:r w:rsidRPr="00E91A17">
              <w:rPr>
                <w:highlight w:val="green"/>
              </w:rPr>
              <w:t>450</w:t>
            </w:r>
          </w:p>
        </w:tc>
        <w:tc>
          <w:tcPr>
            <w:tcW w:w="1246" w:type="dxa"/>
            <w:tcBorders>
              <w:right w:val="single" w:sz="12" w:space="0" w:color="auto"/>
            </w:tcBorders>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yellow"/>
              </w:rPr>
            </w:pPr>
            <w:r w:rsidRPr="00E91A17">
              <w:rPr>
                <w:highlight w:val="yellow"/>
              </w:rPr>
              <w:t>390</w:t>
            </w:r>
          </w:p>
        </w:tc>
        <w:tc>
          <w:tcPr>
            <w:tcW w:w="1245" w:type="dxa"/>
            <w:tcBorders>
              <w:left w:val="single" w:sz="12" w:space="0" w:color="auto"/>
            </w:tcBorders>
          </w:tcPr>
          <w:p w:rsidR="00DC291A" w:rsidRDefault="00DC291A" w:rsidP="00DC291A">
            <w:pPr>
              <w:jc w:val="center"/>
              <w:cnfStyle w:val="000000000000" w:firstRow="0" w:lastRow="0" w:firstColumn="0" w:lastColumn="0" w:oddVBand="0" w:evenVBand="0" w:oddHBand="0" w:evenHBand="0" w:firstRowFirstColumn="0" w:firstRowLastColumn="0" w:lastRowFirstColumn="0" w:lastRowLastColumn="0"/>
            </w:pPr>
            <w:r w:rsidRPr="00E91A17">
              <w:rPr>
                <w:highlight w:val="yellow"/>
              </w:rPr>
              <w:t>171</w:t>
            </w:r>
          </w:p>
        </w:tc>
        <w:tc>
          <w:tcPr>
            <w:tcW w:w="1246" w:type="dxa"/>
            <w:tcBorders>
              <w:right w:val="single" w:sz="12" w:space="0" w:color="auto"/>
            </w:tcBorders>
          </w:tcPr>
          <w:p w:rsidR="00DC291A" w:rsidRDefault="00DC291A" w:rsidP="00DC291A">
            <w:pPr>
              <w:jc w:val="center"/>
              <w:cnfStyle w:val="000000000000" w:firstRow="0" w:lastRow="0" w:firstColumn="0" w:lastColumn="0" w:oddVBand="0" w:evenVBand="0" w:oddHBand="0" w:evenHBand="0" w:firstRowFirstColumn="0" w:firstRowLastColumn="0" w:lastRowFirstColumn="0" w:lastRowLastColumn="0"/>
            </w:pPr>
            <w:r w:rsidRPr="00E91A17">
              <w:rPr>
                <w:highlight w:val="green"/>
              </w:rPr>
              <w:t>203</w:t>
            </w:r>
          </w:p>
        </w:tc>
        <w:tc>
          <w:tcPr>
            <w:tcW w:w="1245" w:type="dxa"/>
            <w:tcBorders>
              <w:left w:val="single" w:sz="12" w:space="0" w:color="auto"/>
            </w:tcBorders>
          </w:tcPr>
          <w:p w:rsidR="00DC291A" w:rsidRDefault="00DC291A" w:rsidP="00DC291A">
            <w:pPr>
              <w:jc w:val="center"/>
              <w:cnfStyle w:val="000000000000" w:firstRow="0" w:lastRow="0" w:firstColumn="0" w:lastColumn="0" w:oddVBand="0" w:evenVBand="0" w:oddHBand="0" w:evenHBand="0" w:firstRowFirstColumn="0" w:firstRowLastColumn="0" w:lastRowFirstColumn="0" w:lastRowLastColumn="0"/>
            </w:pPr>
            <w:r w:rsidRPr="00E91A17">
              <w:rPr>
                <w:highlight w:val="yellow"/>
              </w:rPr>
              <w:t>0</w:t>
            </w:r>
          </w:p>
        </w:tc>
        <w:tc>
          <w:tcPr>
            <w:tcW w:w="1246" w:type="dxa"/>
          </w:tcPr>
          <w:p w:rsidR="00DC291A" w:rsidRPr="00E91A17" w:rsidRDefault="00DC291A" w:rsidP="00DC291A">
            <w:pPr>
              <w:jc w:val="center"/>
              <w:cnfStyle w:val="000000000000" w:firstRow="0" w:lastRow="0" w:firstColumn="0" w:lastColumn="0" w:oddVBand="0" w:evenVBand="0" w:oddHBand="0" w:evenHBand="0" w:firstRowFirstColumn="0" w:firstRowLastColumn="0" w:lastRowFirstColumn="0" w:lastRowLastColumn="0"/>
              <w:rPr>
                <w:highlight w:val="green"/>
              </w:rPr>
            </w:pPr>
            <w:r w:rsidRPr="00E91A17">
              <w:rPr>
                <w:highlight w:val="green"/>
              </w:rPr>
              <w:t>29</w:t>
            </w:r>
          </w:p>
        </w:tc>
      </w:tr>
    </w:tbl>
    <w:p w:rsidR="00521D2A" w:rsidRDefault="00CD65F7" w:rsidP="00DC291A">
      <w:pPr>
        <w:autoSpaceDE w:val="0"/>
        <w:autoSpaceDN w:val="0"/>
        <w:adjustRightInd w:val="0"/>
        <w:spacing w:after="0" w:line="240" w:lineRule="auto"/>
        <w:jc w:val="center"/>
        <w:rPr>
          <w:rFonts w:ascii="TimesNewRomanPSMT" w:hAnsi="TimesNewRomanPSMT" w:cs="TimesNewRomanPSMT"/>
        </w:rPr>
      </w:pPr>
    </w:p>
    <w:p w:rsidR="003811D0" w:rsidRPr="00CD65F7" w:rsidRDefault="003811D0" w:rsidP="00CD65F7">
      <w:pPr>
        <w:autoSpaceDE w:val="0"/>
        <w:autoSpaceDN w:val="0"/>
        <w:adjustRightInd w:val="0"/>
        <w:spacing w:after="0" w:line="240" w:lineRule="auto"/>
        <w:rPr>
          <w:rFonts w:ascii="TimesNewRomanPSMT" w:hAnsi="TimesNewRomanPSMT" w:cs="TimesNewRomanPSMT"/>
          <w:sz w:val="14"/>
        </w:rPr>
      </w:pPr>
      <w:proofErr w:type="spellStart"/>
      <w:r w:rsidRPr="00CD65F7">
        <w:rPr>
          <w:rFonts w:ascii="TimesNewRomanPSMT" w:hAnsi="TimesNewRomanPSMT" w:cs="TimesNewRomanPSMT"/>
          <w:sz w:val="14"/>
        </w:rPr>
        <w:t>Ti</w:t>
      </w:r>
      <w:proofErr w:type="spellEnd"/>
      <w:r w:rsidRPr="00CD65F7">
        <w:rPr>
          <w:rFonts w:ascii="TimesNewRomanPSMT" w:hAnsi="TimesNewRomanPSMT" w:cs="TimesNewRomanPSMT"/>
          <w:sz w:val="14"/>
        </w:rPr>
        <w:t xml:space="preserve"> = Temperature on Inlet fluid to </w:t>
      </w:r>
      <w:proofErr w:type="gramStart"/>
      <w:r w:rsidRPr="00CD65F7">
        <w:rPr>
          <w:rFonts w:ascii="TimesNewRomanPSMT" w:hAnsi="TimesNewRomanPSMT" w:cs="TimesNewRomanPSMT"/>
          <w:sz w:val="14"/>
        </w:rPr>
        <w:t>Collector ;</w:t>
      </w:r>
      <w:proofErr w:type="gramEnd"/>
      <w:r w:rsidRPr="00CD65F7">
        <w:rPr>
          <w:rFonts w:ascii="TimesNewRomanPSMT" w:hAnsi="TimesNewRomanPSMT" w:cs="TimesNewRomanPSMT"/>
          <w:sz w:val="14"/>
        </w:rPr>
        <w:t xml:space="preserve"> Ta = Ambient Temperature of Environment where th</w:t>
      </w:r>
      <w:bookmarkStart w:id="0" w:name="_GoBack"/>
      <w:bookmarkEnd w:id="0"/>
      <w:r w:rsidRPr="00CD65F7">
        <w:rPr>
          <w:rFonts w:ascii="TimesNewRomanPSMT" w:hAnsi="TimesNewRomanPSMT" w:cs="TimesNewRomanPSMT"/>
          <w:sz w:val="14"/>
        </w:rPr>
        <w:t>e collector is installed.</w:t>
      </w:r>
    </w:p>
    <w:sectPr w:rsidR="003811D0" w:rsidRPr="00CD6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90"/>
    <w:rsid w:val="001810F8"/>
    <w:rsid w:val="003811D0"/>
    <w:rsid w:val="006B6D27"/>
    <w:rsid w:val="006C3290"/>
    <w:rsid w:val="007F1723"/>
    <w:rsid w:val="00CD65F7"/>
    <w:rsid w:val="00D75FD0"/>
    <w:rsid w:val="00DC291A"/>
    <w:rsid w:val="00E1214F"/>
    <w:rsid w:val="00EA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9A7E"/>
  <w15:chartTrackingRefBased/>
  <w15:docId w15:val="{94215940-AB43-4D0E-AAE1-70EA58FD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DC291A"/>
    <w:pPr>
      <w:spacing w:after="200" w:line="240" w:lineRule="auto"/>
    </w:pPr>
    <w:rPr>
      <w:i/>
      <w:iCs/>
      <w:color w:val="44546A" w:themeColor="text2"/>
      <w:sz w:val="18"/>
      <w:szCs w:val="18"/>
    </w:rPr>
  </w:style>
  <w:style w:type="table" w:styleId="GridTable5Dark-Accent5">
    <w:name w:val="Grid Table 5 Dark Accent 5"/>
    <w:basedOn w:val="TableNormal"/>
    <w:uiPriority w:val="50"/>
    <w:rsid w:val="00DC29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Habibi</dc:creator>
  <cp:keywords/>
  <dc:description/>
  <cp:lastModifiedBy>Amir Habibi</cp:lastModifiedBy>
  <cp:revision>3</cp:revision>
  <dcterms:created xsi:type="dcterms:W3CDTF">2019-02-08T21:01:00Z</dcterms:created>
  <dcterms:modified xsi:type="dcterms:W3CDTF">2019-02-08T21:01:00Z</dcterms:modified>
</cp:coreProperties>
</file>